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026" w:rsidRDefault="00AE3026" w:rsidP="00AE3026">
      <w:pPr>
        <w:pStyle w:val="CommentText"/>
        <w:spacing w:after="120"/>
        <w:rPr>
          <w:noProof/>
          <w:szCs w:val="24"/>
          <w:lang w:val="en-US"/>
        </w:rPr>
      </w:pPr>
    </w:p>
    <w:p w:rsidR="00AE3026" w:rsidRDefault="00AE3026" w:rsidP="00AE3026">
      <w:pPr>
        <w:pStyle w:val="CommentText"/>
        <w:spacing w:after="120"/>
        <w:rPr>
          <w:noProof/>
          <w:szCs w:val="24"/>
          <w:lang w:val="en-US"/>
        </w:rPr>
      </w:pPr>
    </w:p>
    <w:p w:rsidR="00AE3026" w:rsidRDefault="00AE3026" w:rsidP="00AE3026">
      <w:pPr>
        <w:pStyle w:val="CommentText"/>
        <w:spacing w:after="120"/>
        <w:rPr>
          <w:noProof/>
          <w:szCs w:val="24"/>
          <w:lang w:val="en-US"/>
        </w:rPr>
      </w:pPr>
    </w:p>
    <w:p w:rsidR="00BD0A26" w:rsidRDefault="00F62206" w:rsidP="00AE3026">
      <w:pPr>
        <w:pStyle w:val="CommentText"/>
        <w:spacing w:after="120"/>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6BF5D76F" wp14:editId="5156B18A">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A26" w:rsidRDefault="00F62206">
                            <w:r>
                              <w:rPr>
                                <w:noProof/>
                                <w:lang w:eastAsia="en-GB"/>
                              </w:rPr>
                              <w:drawing>
                                <wp:inline distT="0" distB="0" distL="0" distR="0" wp14:anchorId="0A80FCB9" wp14:editId="116BF5D7">
                                  <wp:extent cx="935355" cy="1254760"/>
                                  <wp:effectExtent l="0" t="0" r="0" b="2540"/>
                                  <wp:docPr id="1" name="Picture 1" descr="http://insideocc/styleguide/logos/occ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BD0A26" w:rsidRDefault="00F62206">
                      <w:r>
                        <w:rPr>
                          <w:noProof/>
                          <w:lang w:eastAsia="en-GB"/>
                        </w:rPr>
                        <w:drawing>
                          <wp:inline distT="0" distB="0" distL="0" distR="0" wp14:anchorId="0A80FCB9" wp14:editId="116BF5D7">
                            <wp:extent cx="935355" cy="1254760"/>
                            <wp:effectExtent l="0" t="0" r="0" b="2540"/>
                            <wp:docPr id="1" name="Picture 1" descr="http://insideocc/styleguide/logos/occ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BD0A26" w:rsidRDefault="00BD0A26" w:rsidP="00AE3026">
      <w:pPr>
        <w:spacing w:after="120"/>
        <w:jc w:val="right"/>
        <w:rPr>
          <w:b/>
          <w:bCs/>
        </w:rPr>
      </w:pPr>
    </w:p>
    <w:p w:rsidR="00AE3026" w:rsidRDefault="00AE3026" w:rsidP="00AE3026">
      <w:pPr>
        <w:tabs>
          <w:tab w:val="left" w:pos="1843"/>
        </w:tabs>
        <w:spacing w:after="120"/>
        <w:rPr>
          <w:b/>
          <w:bCs/>
        </w:rPr>
      </w:pPr>
    </w:p>
    <w:p w:rsidR="00BD0A26" w:rsidRDefault="00890110" w:rsidP="00AE3026">
      <w:pPr>
        <w:tabs>
          <w:tab w:val="left" w:pos="1843"/>
        </w:tabs>
        <w:spacing w:after="120"/>
        <w:rPr>
          <w:b/>
          <w:bCs/>
        </w:rPr>
      </w:pPr>
      <w:r>
        <w:rPr>
          <w:b/>
          <w:bCs/>
        </w:rPr>
        <w:t>To:</w:t>
      </w:r>
      <w:r w:rsidR="001B0966">
        <w:rPr>
          <w:b/>
          <w:bCs/>
        </w:rPr>
        <w:t xml:space="preserve"> </w:t>
      </w:r>
      <w:r w:rsidR="001B0966">
        <w:rPr>
          <w:b/>
          <w:bCs/>
        </w:rPr>
        <w:tab/>
        <w:t>Council</w:t>
      </w:r>
    </w:p>
    <w:p w:rsidR="00BD0A26" w:rsidRDefault="001B0966" w:rsidP="00AE3026">
      <w:pPr>
        <w:tabs>
          <w:tab w:val="left" w:pos="1843"/>
          <w:tab w:val="left" w:pos="6300"/>
          <w:tab w:val="left" w:pos="7380"/>
        </w:tabs>
        <w:spacing w:after="120"/>
        <w:rPr>
          <w:b/>
          <w:bCs/>
        </w:rPr>
      </w:pPr>
      <w:r>
        <w:rPr>
          <w:b/>
          <w:bCs/>
        </w:rPr>
        <w:t xml:space="preserve">Date: </w:t>
      </w:r>
      <w:r>
        <w:rPr>
          <w:b/>
          <w:bCs/>
        </w:rPr>
        <w:tab/>
      </w:r>
      <w:r w:rsidR="00DB282A">
        <w:rPr>
          <w:b/>
          <w:bCs/>
        </w:rPr>
        <w:t>29 January 2018</w:t>
      </w:r>
    </w:p>
    <w:p w:rsidR="00BD0A26" w:rsidRDefault="00890110" w:rsidP="00AE3026">
      <w:pPr>
        <w:tabs>
          <w:tab w:val="left" w:pos="1843"/>
        </w:tabs>
        <w:spacing w:after="120"/>
        <w:rPr>
          <w:b/>
          <w:bCs/>
        </w:rPr>
      </w:pPr>
      <w:r>
        <w:rPr>
          <w:b/>
          <w:bCs/>
        </w:rPr>
        <w:t>Report of:</w:t>
      </w:r>
      <w:r>
        <w:rPr>
          <w:b/>
          <w:bCs/>
        </w:rPr>
        <w:tab/>
      </w:r>
      <w:r w:rsidR="001B0966">
        <w:rPr>
          <w:b/>
          <w:bCs/>
        </w:rPr>
        <w:t>Head of Law and Governance</w:t>
      </w:r>
    </w:p>
    <w:p w:rsidR="00BD0A26" w:rsidRDefault="00890110" w:rsidP="00AE3026">
      <w:pPr>
        <w:tabs>
          <w:tab w:val="left" w:pos="1843"/>
        </w:tabs>
        <w:spacing w:after="120"/>
        <w:ind w:left="1843" w:hanging="1843"/>
        <w:rPr>
          <w:b/>
          <w:bCs/>
        </w:rPr>
      </w:pPr>
      <w:r>
        <w:rPr>
          <w:b/>
          <w:bCs/>
        </w:rPr>
        <w:t xml:space="preserve">Title of Report: </w:t>
      </w:r>
      <w:r w:rsidR="001B0966">
        <w:rPr>
          <w:b/>
          <w:bCs/>
        </w:rPr>
        <w:tab/>
      </w:r>
      <w:r w:rsidR="00B00EF4">
        <w:rPr>
          <w:b/>
          <w:bCs/>
        </w:rPr>
        <w:t>Councillors’ Allowances – Report of the Independent Remuneration Panel</w:t>
      </w:r>
    </w:p>
    <w:p w:rsidR="00BD0A26" w:rsidRDefault="00BD0A26" w:rsidP="00AE3026">
      <w:pPr>
        <w:pStyle w:val="Heading1"/>
        <w:spacing w:after="120"/>
        <w:rPr>
          <w:u w:val="single"/>
        </w:rPr>
      </w:pPr>
    </w:p>
    <w:p w:rsidR="00BD0A26" w:rsidRPr="00AE3026" w:rsidRDefault="00890110" w:rsidP="00AE3026">
      <w:pPr>
        <w:pStyle w:val="Heading1"/>
        <w:pBdr>
          <w:top w:val="single" w:sz="4" w:space="1" w:color="auto"/>
          <w:left w:val="single" w:sz="4" w:space="4" w:color="auto"/>
          <w:bottom w:val="single" w:sz="4" w:space="1" w:color="auto"/>
          <w:right w:val="single" w:sz="4" w:space="4" w:color="auto"/>
        </w:pBdr>
        <w:spacing w:after="120"/>
        <w:jc w:val="center"/>
        <w:rPr>
          <w:u w:val="single"/>
        </w:rPr>
      </w:pPr>
      <w:r>
        <w:rPr>
          <w:u w:val="single"/>
        </w:rPr>
        <w:t>Summary and Recommendations</w:t>
      </w:r>
    </w:p>
    <w:p w:rsidR="00AE3026" w:rsidRDefault="00AE3026" w:rsidP="00AE3026">
      <w:pPr>
        <w:pBdr>
          <w:top w:val="single" w:sz="4" w:space="1" w:color="auto"/>
          <w:left w:val="single" w:sz="4" w:space="4" w:color="auto"/>
          <w:bottom w:val="single" w:sz="4" w:space="1" w:color="auto"/>
          <w:right w:val="single" w:sz="4" w:space="4" w:color="auto"/>
        </w:pBdr>
        <w:spacing w:after="120"/>
        <w:rPr>
          <w:b/>
          <w:bCs/>
        </w:rPr>
      </w:pPr>
    </w:p>
    <w:p w:rsidR="001B0966" w:rsidRDefault="00890110" w:rsidP="00AE3026">
      <w:pPr>
        <w:pBdr>
          <w:top w:val="single" w:sz="4" w:space="1" w:color="auto"/>
          <w:left w:val="single" w:sz="4" w:space="4" w:color="auto"/>
          <w:bottom w:val="single" w:sz="4" w:space="1" w:color="auto"/>
          <w:right w:val="single" w:sz="4" w:space="4" w:color="auto"/>
        </w:pBdr>
        <w:spacing w:after="240"/>
      </w:pPr>
      <w:r>
        <w:rPr>
          <w:b/>
          <w:bCs/>
        </w:rPr>
        <w:t>Purpose of report</w:t>
      </w:r>
      <w:r w:rsidR="00E511F5">
        <w:t xml:space="preserve">: </w:t>
      </w:r>
      <w:r w:rsidR="00B00EF4">
        <w:t>To present the report and recommendations of the Council’s Independent Remuneration Panel</w:t>
      </w:r>
      <w:r w:rsidR="00D41072">
        <w:t xml:space="preserve"> (IRP).</w:t>
      </w:r>
      <w:r w:rsidR="001D34C5">
        <w:t xml:space="preserve"> </w:t>
      </w:r>
      <w:r w:rsidR="00D41072">
        <w:t xml:space="preserve"> The</w:t>
      </w:r>
      <w:r w:rsidR="00992F8B">
        <w:t xml:space="preserve"> IRP’s report contains proposed amendments</w:t>
      </w:r>
      <w:r w:rsidR="00D41072">
        <w:t xml:space="preserve"> for the Oxford City Council Members’ Allowances Scheme</w:t>
      </w:r>
      <w:r w:rsidR="00EE040F">
        <w:t xml:space="preserve"> </w:t>
      </w:r>
      <w:r w:rsidR="00992F8B">
        <w:t xml:space="preserve">which will expire </w:t>
      </w:r>
      <w:r w:rsidR="001633DF">
        <w:t>o</w:t>
      </w:r>
      <w:r w:rsidR="00992F8B">
        <w:t xml:space="preserve">n </w:t>
      </w:r>
      <w:r w:rsidR="001633DF">
        <w:t xml:space="preserve">31 </w:t>
      </w:r>
      <w:r w:rsidR="00992F8B">
        <w:t>March 2019</w:t>
      </w:r>
      <w:r w:rsidR="00D41072">
        <w:t>.</w:t>
      </w:r>
      <w:r w:rsidR="00A0767E">
        <w:t xml:space="preserve"> </w:t>
      </w:r>
    </w:p>
    <w:p w:rsidR="00BD0A26" w:rsidRDefault="001B0966" w:rsidP="00AE3026">
      <w:pPr>
        <w:pBdr>
          <w:top w:val="single" w:sz="4" w:space="1" w:color="auto"/>
          <w:left w:val="single" w:sz="4" w:space="4" w:color="auto"/>
          <w:bottom w:val="single" w:sz="4" w:space="1" w:color="auto"/>
          <w:right w:val="single" w:sz="4" w:space="4" w:color="auto"/>
        </w:pBdr>
        <w:spacing w:after="240"/>
        <w:rPr>
          <w:b/>
          <w:bCs/>
        </w:rPr>
      </w:pPr>
      <w:r>
        <w:rPr>
          <w:b/>
          <w:bCs/>
        </w:rPr>
        <w:t>Report Approved by:</w:t>
      </w:r>
      <w:r w:rsidR="00A0767E">
        <w:rPr>
          <w:b/>
          <w:bCs/>
        </w:rPr>
        <w:t xml:space="preserve"> </w:t>
      </w:r>
      <w:r w:rsidR="00815D95" w:rsidRPr="00815D95">
        <w:rPr>
          <w:bCs/>
        </w:rPr>
        <w:t>Head of Finance and Head of Law and Governance</w:t>
      </w:r>
    </w:p>
    <w:p w:rsidR="00BD0A26" w:rsidRPr="00AE3026" w:rsidRDefault="00890110" w:rsidP="00AE3026">
      <w:pPr>
        <w:pBdr>
          <w:top w:val="single" w:sz="4" w:space="1" w:color="auto"/>
          <w:left w:val="single" w:sz="4" w:space="4" w:color="auto"/>
          <w:bottom w:val="single" w:sz="4" w:space="1" w:color="auto"/>
          <w:right w:val="single" w:sz="4" w:space="4" w:color="auto"/>
        </w:pBdr>
        <w:spacing w:after="240"/>
        <w:rPr>
          <w:b/>
          <w:bCs/>
        </w:rPr>
      </w:pPr>
      <w:r>
        <w:rPr>
          <w:b/>
          <w:bCs/>
        </w:rPr>
        <w:t xml:space="preserve">Policy Framework: </w:t>
      </w:r>
      <w:r w:rsidR="001B0966" w:rsidRPr="001B0966">
        <w:rPr>
          <w:bCs/>
        </w:rPr>
        <w:t>Not applicable</w:t>
      </w:r>
    </w:p>
    <w:p w:rsidR="00EE040F" w:rsidRPr="00AE3026" w:rsidRDefault="001B0966" w:rsidP="00AE3026">
      <w:pPr>
        <w:pBdr>
          <w:top w:val="single" w:sz="4" w:space="1" w:color="auto"/>
          <w:left w:val="single" w:sz="4" w:space="4" w:color="auto"/>
          <w:bottom w:val="single" w:sz="4" w:space="1" w:color="auto"/>
          <w:right w:val="single" w:sz="4" w:space="4" w:color="auto"/>
        </w:pBdr>
        <w:tabs>
          <w:tab w:val="left" w:pos="3048"/>
        </w:tabs>
        <w:spacing w:after="120"/>
      </w:pPr>
      <w:r>
        <w:rPr>
          <w:b/>
        </w:rPr>
        <w:t xml:space="preserve">Recommendations: </w:t>
      </w:r>
      <w:r w:rsidR="00C87ECE" w:rsidRPr="00C33D2B">
        <w:t>The Council</w:t>
      </w:r>
      <w:r w:rsidR="00EE040F" w:rsidRPr="00C33D2B">
        <w:t xml:space="preserve"> is recommended to</w:t>
      </w:r>
      <w:r w:rsidR="00C87ECE" w:rsidRPr="00C33D2B">
        <w:t>:</w:t>
      </w:r>
    </w:p>
    <w:p w:rsidR="004B772B" w:rsidRDefault="00EE040F" w:rsidP="008D33CF">
      <w:pPr>
        <w:pStyle w:val="ListParagraph"/>
        <w:numPr>
          <w:ilvl w:val="0"/>
          <w:numId w:val="9"/>
        </w:numPr>
        <w:pBdr>
          <w:top w:val="single" w:sz="4" w:space="1" w:color="auto"/>
          <w:left w:val="single" w:sz="4" w:space="4" w:color="auto"/>
          <w:bottom w:val="single" w:sz="4" w:space="1" w:color="auto"/>
          <w:right w:val="single" w:sz="4" w:space="4" w:color="auto"/>
        </w:pBdr>
        <w:tabs>
          <w:tab w:val="left" w:pos="3048"/>
        </w:tabs>
        <w:spacing w:after="120"/>
        <w:ind w:left="426" w:hanging="426"/>
        <w:contextualSpacing w:val="0"/>
      </w:pPr>
      <w:r>
        <w:t xml:space="preserve">agree that </w:t>
      </w:r>
      <w:r w:rsidR="00C163A6">
        <w:t>the non-statutory Deputy Leader should receive a S</w:t>
      </w:r>
      <w:r w:rsidR="00CF74E0">
        <w:t>pecial Responsibility Allowance</w:t>
      </w:r>
      <w:r w:rsidR="00C163A6">
        <w:t xml:space="preserve"> </w:t>
      </w:r>
      <w:r w:rsidR="00CF74E0">
        <w:t>(SRA</w:t>
      </w:r>
      <w:r w:rsidR="00C163A6">
        <w:t>)</w:t>
      </w:r>
      <w:r w:rsidR="00CF74E0">
        <w:t xml:space="preserve"> from</w:t>
      </w:r>
      <w:r w:rsidR="001633DF">
        <w:t xml:space="preserve"> 1</w:t>
      </w:r>
      <w:r w:rsidR="00CF74E0">
        <w:t xml:space="preserve"> </w:t>
      </w:r>
      <w:r w:rsidR="00C163A6">
        <w:t>January 2018 at the rate of one full SRA (1 x Basic Allowance)</w:t>
      </w:r>
      <w:r w:rsidR="00A34BAA">
        <w:t xml:space="preserve"> in accordance with paragraphs 17-23 of the report from the IRP</w:t>
      </w:r>
      <w:r w:rsidR="00CF74E0">
        <w:t xml:space="preserve">; </w:t>
      </w:r>
    </w:p>
    <w:p w:rsidR="00EE040F" w:rsidRDefault="004B772B" w:rsidP="008D33CF">
      <w:pPr>
        <w:pStyle w:val="ListParagraph"/>
        <w:numPr>
          <w:ilvl w:val="0"/>
          <w:numId w:val="9"/>
        </w:numPr>
        <w:pBdr>
          <w:top w:val="single" w:sz="4" w:space="1" w:color="auto"/>
          <w:left w:val="single" w:sz="4" w:space="4" w:color="auto"/>
          <w:bottom w:val="single" w:sz="4" w:space="1" w:color="auto"/>
          <w:right w:val="single" w:sz="4" w:space="4" w:color="auto"/>
        </w:pBdr>
        <w:tabs>
          <w:tab w:val="left" w:pos="3048"/>
        </w:tabs>
        <w:spacing w:after="120"/>
        <w:ind w:left="426" w:hanging="426"/>
        <w:contextualSpacing w:val="0"/>
      </w:pPr>
      <w:r>
        <w:t xml:space="preserve">agree that </w:t>
      </w:r>
      <w:r w:rsidR="00C163A6">
        <w:t>if a</w:t>
      </w:r>
      <w:r w:rsidR="00994613">
        <w:t xml:space="preserve"> qualifying </w:t>
      </w:r>
      <w:r w:rsidR="00C163A6">
        <w:t xml:space="preserve">member in receipt of an SRA wishes to take a leave of absence from the duties for which they receive the SRA due to maternity or adoption leave they will continue to receive half of the SRA to which they are entitled for </w:t>
      </w:r>
      <w:r w:rsidR="00DE336C">
        <w:t>a period of</w:t>
      </w:r>
      <w:r w:rsidR="00684101">
        <w:t xml:space="preserve"> </w:t>
      </w:r>
      <w:r w:rsidR="00C163A6">
        <w:t>up to six months</w:t>
      </w:r>
      <w:r w:rsidR="00A34BAA" w:rsidRPr="00A34BAA">
        <w:t xml:space="preserve"> </w:t>
      </w:r>
      <w:r w:rsidR="00A34BAA">
        <w:t>in accordance with paragraphs 26-31 of the report from the IRP</w:t>
      </w:r>
      <w:r w:rsidR="00C163A6">
        <w:t>;</w:t>
      </w:r>
    </w:p>
    <w:p w:rsidR="00C163A6" w:rsidRDefault="00DE336C" w:rsidP="008D33CF">
      <w:pPr>
        <w:pStyle w:val="ListParagraph"/>
        <w:numPr>
          <w:ilvl w:val="0"/>
          <w:numId w:val="9"/>
        </w:numPr>
        <w:pBdr>
          <w:top w:val="single" w:sz="4" w:space="1" w:color="auto"/>
          <w:left w:val="single" w:sz="4" w:space="4" w:color="auto"/>
          <w:bottom w:val="single" w:sz="4" w:space="1" w:color="auto"/>
          <w:right w:val="single" w:sz="4" w:space="4" w:color="auto"/>
        </w:pBdr>
        <w:tabs>
          <w:tab w:val="left" w:pos="3048"/>
        </w:tabs>
        <w:spacing w:after="120"/>
        <w:ind w:left="426" w:hanging="426"/>
        <w:contextualSpacing w:val="0"/>
      </w:pPr>
      <w:r>
        <w:t>delegate to</w:t>
      </w:r>
      <w:r w:rsidR="00C163A6">
        <w:t xml:space="preserve"> the </w:t>
      </w:r>
      <w:r w:rsidR="008704BC">
        <w:t>Committee and Member Services Manager</w:t>
      </w:r>
      <w:r w:rsidR="00C163A6">
        <w:t xml:space="preserve"> authority to pay the costs of making reasonable adjustments for any Councillor </w:t>
      </w:r>
      <w:r w:rsidR="00684101">
        <w:t xml:space="preserve">with a disability </w:t>
      </w:r>
      <w:r w:rsidR="00C163A6">
        <w:t xml:space="preserve">who makes an application to </w:t>
      </w:r>
      <w:r w:rsidR="00C205E8">
        <w:t>him</w:t>
      </w:r>
      <w:r w:rsidR="00C163A6">
        <w:t xml:space="preserve"> up to £1,000 in any one year</w:t>
      </w:r>
      <w:r w:rsidR="001633DF">
        <w:t xml:space="preserve"> (1 April – 31 March)</w:t>
      </w:r>
      <w:r w:rsidR="00A34BAA">
        <w:t xml:space="preserve"> in accordance with paragraphs 24-25 of the report from the IRP</w:t>
      </w:r>
      <w:r w:rsidR="00C163A6">
        <w:t>;</w:t>
      </w:r>
    </w:p>
    <w:p w:rsidR="00C163A6" w:rsidRDefault="00C163A6" w:rsidP="008D33CF">
      <w:pPr>
        <w:pStyle w:val="ListParagraph"/>
        <w:numPr>
          <w:ilvl w:val="0"/>
          <w:numId w:val="9"/>
        </w:numPr>
        <w:pBdr>
          <w:top w:val="single" w:sz="4" w:space="1" w:color="auto"/>
          <w:left w:val="single" w:sz="4" w:space="4" w:color="auto"/>
          <w:bottom w:val="single" w:sz="4" w:space="1" w:color="auto"/>
          <w:right w:val="single" w:sz="4" w:space="4" w:color="auto"/>
        </w:pBdr>
        <w:tabs>
          <w:tab w:val="left" w:pos="3048"/>
        </w:tabs>
        <w:spacing w:after="120"/>
        <w:ind w:left="426" w:hanging="426"/>
        <w:contextualSpacing w:val="0"/>
      </w:pPr>
      <w:r>
        <w:t xml:space="preserve">delegate authority to the Head of Law &amp; Governance to exercise </w:t>
      </w:r>
      <w:r w:rsidR="00684101">
        <w:t>her discretion if a member with a disability requires reasonable adjustments in excess of £1,000 in any year;</w:t>
      </w:r>
    </w:p>
    <w:p w:rsidR="00EE040F" w:rsidRDefault="00EE040F" w:rsidP="008D33CF">
      <w:pPr>
        <w:pStyle w:val="ListParagraph"/>
        <w:numPr>
          <w:ilvl w:val="0"/>
          <w:numId w:val="9"/>
        </w:numPr>
        <w:pBdr>
          <w:top w:val="single" w:sz="4" w:space="1" w:color="auto"/>
          <w:left w:val="single" w:sz="4" w:space="4" w:color="auto"/>
          <w:bottom w:val="single" w:sz="4" w:space="1" w:color="auto"/>
          <w:right w:val="single" w:sz="4" w:space="4" w:color="auto"/>
        </w:pBdr>
        <w:tabs>
          <w:tab w:val="left" w:pos="3048"/>
        </w:tabs>
        <w:spacing w:after="120"/>
        <w:ind w:left="426" w:hanging="426"/>
        <w:contextualSpacing w:val="0"/>
      </w:pPr>
      <w:r>
        <w:t xml:space="preserve">authorise the Head of Law and Governance to </w:t>
      </w:r>
      <w:r w:rsidR="00FF0CBA">
        <w:t>amend the existing</w:t>
      </w:r>
      <w:r>
        <w:t xml:space="preserve"> Members’ Allowances scheme </w:t>
      </w:r>
      <w:r w:rsidR="00E06D62">
        <w:t xml:space="preserve">in accordance with the above recommendations </w:t>
      </w:r>
      <w:r>
        <w:t>and to incorporate it into the Council’s Constitution</w:t>
      </w:r>
      <w:r w:rsidR="00AF7E0D">
        <w:t>;</w:t>
      </w:r>
      <w:r w:rsidR="00EF0E9C">
        <w:t xml:space="preserve"> and</w:t>
      </w:r>
    </w:p>
    <w:p w:rsidR="008704BC" w:rsidRPr="008704BC" w:rsidRDefault="00AF7E0D" w:rsidP="008D33CF">
      <w:pPr>
        <w:pStyle w:val="ListParagraph"/>
        <w:numPr>
          <w:ilvl w:val="0"/>
          <w:numId w:val="9"/>
        </w:numPr>
        <w:pBdr>
          <w:top w:val="single" w:sz="4" w:space="1" w:color="auto"/>
          <w:left w:val="single" w:sz="4" w:space="4" w:color="auto"/>
          <w:bottom w:val="single" w:sz="4" w:space="1" w:color="auto"/>
          <w:right w:val="single" w:sz="4" w:space="4" w:color="auto"/>
        </w:pBdr>
        <w:tabs>
          <w:tab w:val="left" w:pos="3048"/>
        </w:tabs>
        <w:spacing w:after="120"/>
        <w:ind w:left="426" w:hanging="426"/>
        <w:contextualSpacing w:val="0"/>
      </w:pPr>
      <w:proofErr w:type="gramStart"/>
      <w:r>
        <w:t>thank</w:t>
      </w:r>
      <w:proofErr w:type="gramEnd"/>
      <w:r>
        <w:t xml:space="preserve"> the Independent Remuneration Panel for its work.</w:t>
      </w:r>
    </w:p>
    <w:p w:rsidR="005C5EA0" w:rsidRDefault="005C5EA0" w:rsidP="00AE3026">
      <w:pPr>
        <w:spacing w:after="120"/>
        <w:rPr>
          <w:b/>
        </w:rPr>
      </w:pPr>
    </w:p>
    <w:p w:rsidR="00BD0A26" w:rsidRPr="00F62206" w:rsidRDefault="00F62206" w:rsidP="00AE3026">
      <w:pPr>
        <w:spacing w:after="120"/>
        <w:rPr>
          <w:b/>
        </w:rPr>
      </w:pPr>
      <w:r>
        <w:rPr>
          <w:b/>
        </w:rPr>
        <w:lastRenderedPageBreak/>
        <w:t>Appendices</w:t>
      </w:r>
    </w:p>
    <w:p w:rsidR="00D41072" w:rsidRPr="005C5EA0" w:rsidRDefault="005C5EA0" w:rsidP="00AE3026">
      <w:pPr>
        <w:spacing w:after="120"/>
        <w:rPr>
          <w:i/>
        </w:rPr>
      </w:pPr>
      <w:r>
        <w:rPr>
          <w:i/>
        </w:rPr>
        <w:t>Appendix 1:</w:t>
      </w:r>
      <w:r w:rsidR="001B0966" w:rsidRPr="005C5EA0">
        <w:rPr>
          <w:i/>
        </w:rPr>
        <w:t xml:space="preserve"> </w:t>
      </w:r>
      <w:r w:rsidR="00D41072" w:rsidRPr="005C5EA0">
        <w:rPr>
          <w:i/>
        </w:rPr>
        <w:t>Report by the Oxford City Council Independent R</w:t>
      </w:r>
      <w:r w:rsidR="003367D0" w:rsidRPr="005C5EA0">
        <w:rPr>
          <w:i/>
        </w:rPr>
        <w:t>emuneration Panel November 2017</w:t>
      </w:r>
      <w:r w:rsidR="00AE3026">
        <w:rPr>
          <w:i/>
        </w:rPr>
        <w:t xml:space="preserve"> (to follow agenda publication)</w:t>
      </w:r>
    </w:p>
    <w:p w:rsidR="00DC7662" w:rsidRDefault="00DC7662" w:rsidP="00AE3026">
      <w:pPr>
        <w:spacing w:after="120"/>
        <w:rPr>
          <w:b/>
        </w:rPr>
      </w:pPr>
    </w:p>
    <w:p w:rsidR="009109D8" w:rsidRPr="00DC7662" w:rsidRDefault="009109D8" w:rsidP="00AE3026">
      <w:pPr>
        <w:pStyle w:val="ListParagraph"/>
        <w:spacing w:before="240" w:after="120"/>
        <w:ind w:left="0"/>
        <w:contextualSpacing w:val="0"/>
        <w:rPr>
          <w:b/>
        </w:rPr>
      </w:pPr>
      <w:r>
        <w:rPr>
          <w:b/>
        </w:rPr>
        <w:t>Introduction</w:t>
      </w:r>
    </w:p>
    <w:p w:rsidR="00CD2612" w:rsidRDefault="00CD2612" w:rsidP="008D33CF">
      <w:pPr>
        <w:pStyle w:val="ListParagraph"/>
        <w:numPr>
          <w:ilvl w:val="0"/>
          <w:numId w:val="2"/>
        </w:numPr>
        <w:spacing w:after="120"/>
        <w:ind w:left="426" w:hanging="426"/>
        <w:contextualSpacing w:val="0"/>
      </w:pPr>
      <w:r>
        <w:t xml:space="preserve">This report and </w:t>
      </w:r>
      <w:r w:rsidR="00FC14B3">
        <w:t xml:space="preserve">its </w:t>
      </w:r>
      <w:r w:rsidR="003367D0">
        <w:t>appendix</w:t>
      </w:r>
      <w:r w:rsidR="00D41072">
        <w:t xml:space="preserve"> outline the Independent Remuneration Panel</w:t>
      </w:r>
      <w:r w:rsidR="005C5EA0">
        <w:t>’s</w:t>
      </w:r>
      <w:r w:rsidR="00D41072">
        <w:t xml:space="preserve"> (IRP) </w:t>
      </w:r>
      <w:r w:rsidR="00DE336C">
        <w:t xml:space="preserve">proposals </w:t>
      </w:r>
      <w:r w:rsidR="00D41072">
        <w:t>for the</w:t>
      </w:r>
      <w:r w:rsidR="0044100E">
        <w:t xml:space="preserve"> current</w:t>
      </w:r>
      <w:r w:rsidR="00D41072">
        <w:t xml:space="preserve"> Members’ Allowances Scheme</w:t>
      </w:r>
      <w:r w:rsidR="00044056">
        <w:t xml:space="preserve"> (“the Scheme”)</w:t>
      </w:r>
      <w:r w:rsidR="00D41072">
        <w:t>.</w:t>
      </w:r>
    </w:p>
    <w:p w:rsidR="00960643" w:rsidRDefault="00C84266" w:rsidP="008D33CF">
      <w:pPr>
        <w:pStyle w:val="ListParagraph"/>
        <w:numPr>
          <w:ilvl w:val="0"/>
          <w:numId w:val="2"/>
        </w:numPr>
        <w:spacing w:after="120"/>
        <w:ind w:left="426" w:hanging="426"/>
        <w:contextualSpacing w:val="0"/>
      </w:pPr>
      <w:r w:rsidRPr="00121AA7">
        <w:t xml:space="preserve">The Council’s current Scheme was approved in </w:t>
      </w:r>
      <w:r w:rsidR="003367D0">
        <w:t xml:space="preserve">December 2014 and expires </w:t>
      </w:r>
      <w:r w:rsidR="001633DF">
        <w:t>o</w:t>
      </w:r>
      <w:r w:rsidR="003367D0">
        <w:t>n</w:t>
      </w:r>
      <w:r w:rsidR="001633DF">
        <w:t xml:space="preserve"> 31</w:t>
      </w:r>
      <w:r w:rsidR="003367D0">
        <w:t xml:space="preserve"> March 2019</w:t>
      </w:r>
      <w:r w:rsidRPr="00121AA7">
        <w:t xml:space="preserve">. </w:t>
      </w:r>
    </w:p>
    <w:p w:rsidR="00C84266" w:rsidRDefault="00DE336C" w:rsidP="008D33CF">
      <w:pPr>
        <w:pStyle w:val="ListParagraph"/>
        <w:numPr>
          <w:ilvl w:val="0"/>
          <w:numId w:val="2"/>
        </w:numPr>
        <w:spacing w:after="120"/>
        <w:ind w:left="426" w:hanging="426"/>
        <w:contextualSpacing w:val="0"/>
      </w:pPr>
      <w:r>
        <w:t>The Council at its meeting on 20</w:t>
      </w:r>
      <w:r w:rsidR="008B7B45">
        <w:t xml:space="preserve"> July 2017</w:t>
      </w:r>
      <w:bookmarkStart w:id="0" w:name="LastEdit"/>
      <w:bookmarkEnd w:id="0"/>
      <w:r>
        <w:t xml:space="preserve"> requested that the IRP consider proposed amendments to the Scheme. </w:t>
      </w:r>
      <w:r w:rsidR="005C5EA0">
        <w:t xml:space="preserve">The </w:t>
      </w:r>
      <w:r w:rsidR="008704BC">
        <w:t>IRP met on 28</w:t>
      </w:r>
      <w:r w:rsidR="003367D0">
        <w:t xml:space="preserve"> November 2017 </w:t>
      </w:r>
      <w:r w:rsidR="00C84266">
        <w:t>to carry out a review of</w:t>
      </w:r>
      <w:r w:rsidR="00CB79B3">
        <w:t xml:space="preserve"> the Scheme. The IRP comprised </w:t>
      </w:r>
      <w:r w:rsidR="00C84266">
        <w:t>representatives appointed by the Head of Law and Governance (in accordance with the delegated</w:t>
      </w:r>
      <w:r>
        <w:t xml:space="preserve"> authority from Council</w:t>
      </w:r>
      <w:r w:rsidR="00C84266">
        <w:t>) from the voluntary, public and business sector</w:t>
      </w:r>
      <w:r w:rsidR="008D33CF">
        <w:t>s. The members of the IRP were:</w:t>
      </w:r>
    </w:p>
    <w:p w:rsidR="00C84266" w:rsidRDefault="006D4421" w:rsidP="008D33CF">
      <w:pPr>
        <w:pStyle w:val="ListParagraph"/>
        <w:numPr>
          <w:ilvl w:val="0"/>
          <w:numId w:val="5"/>
        </w:numPr>
        <w:spacing w:after="120"/>
        <w:ind w:left="851" w:hanging="425"/>
        <w:contextualSpacing w:val="0"/>
      </w:pPr>
      <w:r>
        <w:t xml:space="preserve">Professor Alistair Fitt – </w:t>
      </w:r>
      <w:bookmarkStart w:id="1" w:name="_GoBack"/>
      <w:bookmarkEnd w:id="1"/>
      <w:r w:rsidR="00C84266">
        <w:t>Vice-Chancellor, Oxford Brookes University</w:t>
      </w:r>
    </w:p>
    <w:p w:rsidR="00C84266" w:rsidRDefault="00C84266" w:rsidP="008D33CF">
      <w:pPr>
        <w:pStyle w:val="ListParagraph"/>
        <w:numPr>
          <w:ilvl w:val="0"/>
          <w:numId w:val="5"/>
        </w:numPr>
        <w:spacing w:after="120"/>
        <w:ind w:left="851" w:hanging="425"/>
        <w:contextualSpacing w:val="0"/>
      </w:pPr>
      <w:r>
        <w:t>Kathy Shaw – Chief Executive, Oxfordshire Community and Voluntary Action</w:t>
      </w:r>
    </w:p>
    <w:p w:rsidR="00D41072" w:rsidRDefault="003367D0" w:rsidP="008D33CF">
      <w:pPr>
        <w:pStyle w:val="ListParagraph"/>
        <w:numPr>
          <w:ilvl w:val="0"/>
          <w:numId w:val="5"/>
        </w:numPr>
        <w:spacing w:after="120"/>
        <w:ind w:left="851" w:hanging="425"/>
        <w:contextualSpacing w:val="0"/>
      </w:pPr>
      <w:r>
        <w:t>Prisca Bradley</w:t>
      </w:r>
      <w:r w:rsidR="00C84266">
        <w:t xml:space="preserve"> – Director, Hedges Law</w:t>
      </w:r>
    </w:p>
    <w:p w:rsidR="00C84266" w:rsidRPr="00AE3026" w:rsidRDefault="00C84266" w:rsidP="00AE3026">
      <w:pPr>
        <w:pStyle w:val="ListParagraph"/>
        <w:spacing w:before="240" w:after="120"/>
        <w:ind w:left="0"/>
        <w:contextualSpacing w:val="0"/>
        <w:rPr>
          <w:b/>
        </w:rPr>
      </w:pPr>
      <w:r w:rsidRPr="00C84266">
        <w:rPr>
          <w:b/>
        </w:rPr>
        <w:t>The Independent Remuneration Panel Report</w:t>
      </w:r>
      <w:r>
        <w:rPr>
          <w:b/>
        </w:rPr>
        <w:t xml:space="preserve"> and Recommendations</w:t>
      </w:r>
    </w:p>
    <w:p w:rsidR="0073476F" w:rsidRDefault="00C84266" w:rsidP="008D33CF">
      <w:pPr>
        <w:pStyle w:val="ListParagraph"/>
        <w:numPr>
          <w:ilvl w:val="0"/>
          <w:numId w:val="2"/>
        </w:numPr>
        <w:spacing w:after="120"/>
        <w:ind w:left="426" w:hanging="426"/>
        <w:contextualSpacing w:val="0"/>
      </w:pPr>
      <w:r>
        <w:t>The IRP</w:t>
      </w:r>
      <w:r w:rsidR="00DE336C">
        <w:t>’s</w:t>
      </w:r>
      <w:r>
        <w:t xml:space="preserve"> report </w:t>
      </w:r>
      <w:r w:rsidR="0070076A">
        <w:t>and</w:t>
      </w:r>
      <w:r w:rsidR="00A0767E">
        <w:t xml:space="preserve"> </w:t>
      </w:r>
      <w:r>
        <w:t>recommendations</w:t>
      </w:r>
      <w:r w:rsidR="00DE336C">
        <w:t xml:space="preserve"> are attached at Appendix 1</w:t>
      </w:r>
      <w:r>
        <w:t xml:space="preserve">. </w:t>
      </w:r>
    </w:p>
    <w:p w:rsidR="0073476F" w:rsidRDefault="0073476F" w:rsidP="008D33CF">
      <w:pPr>
        <w:pStyle w:val="ListParagraph"/>
        <w:numPr>
          <w:ilvl w:val="0"/>
          <w:numId w:val="2"/>
        </w:numPr>
        <w:spacing w:after="120"/>
        <w:ind w:left="426" w:hanging="426"/>
        <w:contextualSpacing w:val="0"/>
      </w:pPr>
      <w:r>
        <w:t xml:space="preserve">The </w:t>
      </w:r>
      <w:r w:rsidRPr="00EC6FA9">
        <w:t>Panel’s view</w:t>
      </w:r>
      <w:r w:rsidR="003367D0">
        <w:t xml:space="preserve"> continues to be </w:t>
      </w:r>
      <w:r w:rsidRPr="00EC6FA9">
        <w:t>that the revised sch</w:t>
      </w:r>
      <w:r>
        <w:t xml:space="preserve">eme of allowances must be: set at a level to encourage access by all; be fair and </w:t>
      </w:r>
      <w:r w:rsidRPr="00EC6FA9">
        <w:t>transparent</w:t>
      </w:r>
      <w:r>
        <w:t xml:space="preserve"> and be</w:t>
      </w:r>
      <w:r w:rsidRPr="00EC6FA9">
        <w:t xml:space="preserve"> affordable. The Panel would like to draw attention to</w:t>
      </w:r>
      <w:r>
        <w:t xml:space="preserve"> </w:t>
      </w:r>
      <w:r w:rsidRPr="00EC6FA9">
        <w:t>the following aspects of their recommendations:</w:t>
      </w:r>
    </w:p>
    <w:p w:rsidR="00044056" w:rsidRDefault="00044056" w:rsidP="008D33CF">
      <w:pPr>
        <w:pStyle w:val="ListParagraph"/>
        <w:numPr>
          <w:ilvl w:val="0"/>
          <w:numId w:val="6"/>
        </w:numPr>
        <w:spacing w:after="120"/>
        <w:ind w:left="851" w:hanging="425"/>
        <w:contextualSpacing w:val="0"/>
      </w:pPr>
      <w:r>
        <w:t>The addition of a Special Responsibility Allowance for the non-statutory Deputy Leader</w:t>
      </w:r>
      <w:r w:rsidR="00994613">
        <w:t xml:space="preserve"> </w:t>
      </w:r>
      <w:r w:rsidR="00A34BAA">
        <w:t>(</w:t>
      </w:r>
      <w:r w:rsidR="00994613">
        <w:t xml:space="preserve">paragraphs </w:t>
      </w:r>
      <w:r w:rsidR="00FD7FEE">
        <w:t>17-23 of the report from the IRP</w:t>
      </w:r>
      <w:r w:rsidR="00A34BAA">
        <w:t>)</w:t>
      </w:r>
      <w:r>
        <w:t>;</w:t>
      </w:r>
    </w:p>
    <w:p w:rsidR="00044056" w:rsidRDefault="00044056" w:rsidP="008D33CF">
      <w:pPr>
        <w:pStyle w:val="ListParagraph"/>
        <w:numPr>
          <w:ilvl w:val="0"/>
          <w:numId w:val="6"/>
        </w:numPr>
        <w:spacing w:after="120"/>
        <w:ind w:left="851" w:hanging="425"/>
        <w:contextualSpacing w:val="0"/>
      </w:pPr>
      <w:r>
        <w:t>The introduction of a scheme for maternity and adoption leave for</w:t>
      </w:r>
      <w:r w:rsidR="00994613">
        <w:t xml:space="preserve"> qualifying m</w:t>
      </w:r>
      <w:r>
        <w:t>embers in receipt of a Special Responsibility Allowance</w:t>
      </w:r>
      <w:r w:rsidR="00A34BAA">
        <w:t xml:space="preserve"> (</w:t>
      </w:r>
      <w:r w:rsidR="00994613">
        <w:t>paragraphs</w:t>
      </w:r>
      <w:r w:rsidR="00FD7FEE">
        <w:t xml:space="preserve"> 26 -31 of the report from the IRP</w:t>
      </w:r>
      <w:r w:rsidR="00A34BAA">
        <w:t>)</w:t>
      </w:r>
      <w:r>
        <w:t>; and</w:t>
      </w:r>
    </w:p>
    <w:p w:rsidR="00F80CAD" w:rsidRDefault="00044056" w:rsidP="008D33CF">
      <w:pPr>
        <w:pStyle w:val="ListParagraph"/>
        <w:numPr>
          <w:ilvl w:val="0"/>
          <w:numId w:val="6"/>
        </w:numPr>
        <w:spacing w:after="120"/>
        <w:ind w:left="851" w:hanging="425"/>
        <w:contextualSpacing w:val="0"/>
      </w:pPr>
      <w:r w:rsidRPr="00EC6FA9">
        <w:t xml:space="preserve">That </w:t>
      </w:r>
      <w:r>
        <w:t>a contingency fund should be made available for the cost of reasonable adjustments for Members who have a disability</w:t>
      </w:r>
      <w:r w:rsidR="00994613">
        <w:t xml:space="preserve"> </w:t>
      </w:r>
      <w:r w:rsidR="00A34BAA">
        <w:t>(</w:t>
      </w:r>
      <w:r w:rsidR="00994613">
        <w:t xml:space="preserve">in accordance with paragraphs </w:t>
      </w:r>
      <w:r w:rsidR="00FD7FEE">
        <w:t>24-25 of the report from the IRP</w:t>
      </w:r>
      <w:r w:rsidR="00A34BAA">
        <w:t>)</w:t>
      </w:r>
      <w:r>
        <w:t>.</w:t>
      </w:r>
    </w:p>
    <w:p w:rsidR="007E0A1E" w:rsidRDefault="007E0A1E" w:rsidP="00AE3026">
      <w:pPr>
        <w:pStyle w:val="ListParagraph"/>
        <w:spacing w:before="240" w:after="120"/>
        <w:ind w:left="0"/>
        <w:contextualSpacing w:val="0"/>
        <w:rPr>
          <w:b/>
        </w:rPr>
      </w:pPr>
      <w:r w:rsidRPr="007E0A1E">
        <w:rPr>
          <w:b/>
        </w:rPr>
        <w:t>Cost of the Proposed Scheme</w:t>
      </w:r>
    </w:p>
    <w:p w:rsidR="00F46648" w:rsidRPr="00F46648" w:rsidRDefault="005C5EA0" w:rsidP="008D33CF">
      <w:pPr>
        <w:pStyle w:val="ListParagraph"/>
        <w:numPr>
          <w:ilvl w:val="0"/>
          <w:numId w:val="2"/>
        </w:numPr>
        <w:spacing w:after="120"/>
        <w:ind w:left="426" w:hanging="426"/>
        <w:contextualSpacing w:val="0"/>
      </w:pPr>
      <w:r>
        <w:t>The addition of an</w:t>
      </w:r>
      <w:r w:rsidR="003367D0">
        <w:t xml:space="preserve"> </w:t>
      </w:r>
      <w:r w:rsidR="00D5038C">
        <w:t>SRA</w:t>
      </w:r>
      <w:r w:rsidR="003367D0">
        <w:t xml:space="preserve"> for the non-statutory Deputy Leader </w:t>
      </w:r>
      <w:r w:rsidR="00CB79B3">
        <w:t>(</w:t>
      </w:r>
      <w:r>
        <w:t>from</w:t>
      </w:r>
      <w:r w:rsidR="00CB79B3">
        <w:t xml:space="preserve"> 1 January 2018) would result in additional spending</w:t>
      </w:r>
      <w:r w:rsidR="003367D0">
        <w:t xml:space="preserve"> of </w:t>
      </w:r>
      <w:r w:rsidR="00D40316">
        <w:t xml:space="preserve">£1,238 </w:t>
      </w:r>
      <w:r w:rsidR="00CB79B3">
        <w:t>in</w:t>
      </w:r>
      <w:r w:rsidR="00D40316">
        <w:t xml:space="preserve"> the financial year 2017/18 and</w:t>
      </w:r>
      <w:r w:rsidR="00CB79B3">
        <w:t xml:space="preserve"> a</w:t>
      </w:r>
      <w:r w:rsidR="00D40316">
        <w:t xml:space="preserve"> </w:t>
      </w:r>
      <w:r w:rsidR="00CB79B3">
        <w:t xml:space="preserve">budget pressure of </w:t>
      </w:r>
      <w:r w:rsidR="003367D0">
        <w:t>£</w:t>
      </w:r>
      <w:r w:rsidR="00625C2B">
        <w:t>5,017</w:t>
      </w:r>
      <w:r w:rsidR="00D40316">
        <w:t xml:space="preserve"> for the year 2018/19.</w:t>
      </w:r>
    </w:p>
    <w:p w:rsidR="00CD1AC6" w:rsidRDefault="007C0442" w:rsidP="00AE3026">
      <w:pPr>
        <w:pStyle w:val="ListParagraph"/>
        <w:numPr>
          <w:ilvl w:val="0"/>
          <w:numId w:val="2"/>
        </w:numPr>
        <w:spacing w:after="120"/>
        <w:ind w:left="426" w:hanging="426"/>
        <w:contextualSpacing w:val="0"/>
      </w:pPr>
      <w:r>
        <w:t xml:space="preserve">Spend on </w:t>
      </w:r>
      <w:r w:rsidR="00044056">
        <w:t>maternity or adoption leave</w:t>
      </w:r>
      <w:r w:rsidR="00CD1AC6">
        <w:t xml:space="preserve"> will </w:t>
      </w:r>
      <w:r w:rsidR="005C5EA0">
        <w:t>depend</w:t>
      </w:r>
      <w:r w:rsidR="00CB79B3">
        <w:t xml:space="preserve"> on take up.  It is anticipated that </w:t>
      </w:r>
      <w:r w:rsidR="005C5EA0">
        <w:t>any additional spend</w:t>
      </w:r>
      <w:r w:rsidR="00CB79B3">
        <w:t xml:space="preserve"> </w:t>
      </w:r>
      <w:r w:rsidR="00A7585C">
        <w:t xml:space="preserve">resulting from this change </w:t>
      </w:r>
      <w:r w:rsidR="00CB79B3">
        <w:t xml:space="preserve">could be absorbed within the overall scheme </w:t>
      </w:r>
      <w:r w:rsidR="00F80CAD">
        <w:t>or general contingencies</w:t>
      </w:r>
      <w:r w:rsidR="00CB79B3">
        <w:t>.</w:t>
      </w:r>
    </w:p>
    <w:p w:rsidR="00EF0E9C" w:rsidRDefault="00CD1AC6" w:rsidP="008D33CF">
      <w:pPr>
        <w:pStyle w:val="ListParagraph"/>
        <w:numPr>
          <w:ilvl w:val="0"/>
          <w:numId w:val="2"/>
        </w:numPr>
        <w:spacing w:after="120"/>
        <w:ind w:left="426" w:hanging="426"/>
        <w:contextualSpacing w:val="0"/>
      </w:pPr>
      <w:r>
        <w:t>Spend on reasonable adjustments/adaptions will be variable.</w:t>
      </w:r>
      <w:r w:rsidR="003E41A0">
        <w:t xml:space="preserve"> It is </w:t>
      </w:r>
      <w:r w:rsidR="00CB79B3">
        <w:t xml:space="preserve">considered prudent to make budgetary provision </w:t>
      </w:r>
      <w:r w:rsidR="001D34C5">
        <w:t xml:space="preserve">of </w:t>
      </w:r>
      <w:r w:rsidR="003E41A0">
        <w:t>£5,000</w:t>
      </w:r>
      <w:r w:rsidR="00CB79B3">
        <w:t xml:space="preserve"> per annum</w:t>
      </w:r>
      <w:r w:rsidR="001633DF">
        <w:t>.</w:t>
      </w:r>
    </w:p>
    <w:p w:rsidR="003B1E47" w:rsidRDefault="00F46648" w:rsidP="008D33CF">
      <w:pPr>
        <w:pStyle w:val="ListParagraph"/>
        <w:numPr>
          <w:ilvl w:val="0"/>
          <w:numId w:val="2"/>
        </w:numPr>
        <w:spacing w:after="120"/>
        <w:ind w:left="426" w:hanging="426"/>
        <w:contextualSpacing w:val="0"/>
      </w:pPr>
      <w:r>
        <w:lastRenderedPageBreak/>
        <w:t xml:space="preserve">The </w:t>
      </w:r>
      <w:r w:rsidR="007C0442">
        <w:t>IRP</w:t>
      </w:r>
      <w:r>
        <w:t xml:space="preserve"> was mindful </w:t>
      </w:r>
      <w:r w:rsidR="007C0442">
        <w:t xml:space="preserve">that </w:t>
      </w:r>
      <w:r w:rsidR="009D49B9">
        <w:t>their recommendation of a</w:t>
      </w:r>
      <w:r>
        <w:t xml:space="preserve"> total maximum amount that may be claimed in one year</w:t>
      </w:r>
      <w:r w:rsidR="007C0442">
        <w:t xml:space="preserve"> of a £1</w:t>
      </w:r>
      <w:r w:rsidR="005C5EA0">
        <w:t>,</w:t>
      </w:r>
      <w:r w:rsidR="007C0442">
        <w:t>000</w:t>
      </w:r>
      <w:r w:rsidR="00661374">
        <w:t xml:space="preserve"> </w:t>
      </w:r>
      <w:r w:rsidR="007C0442">
        <w:t>may be</w:t>
      </w:r>
      <w:r>
        <w:t xml:space="preserve"> a barrier to a Councillor performing their duties. It suggested that a mechanism should be put in place for dealing with special circumstances</w:t>
      </w:r>
      <w:r w:rsidR="006E43A4">
        <w:t>. This should perhaps be dealt with by</w:t>
      </w:r>
      <w:r>
        <w:t xml:space="preserve"> the </w:t>
      </w:r>
      <w:r w:rsidR="006E43A4">
        <w:t>Head of Law and Governance</w:t>
      </w:r>
      <w:r>
        <w:t>.</w:t>
      </w:r>
      <w:r w:rsidR="007C0442">
        <w:t xml:space="preserve"> The financial effects of any agreement should be dealt with at the time.</w:t>
      </w:r>
    </w:p>
    <w:p w:rsidR="006E43A4" w:rsidRDefault="003B1E47" w:rsidP="008D33CF">
      <w:pPr>
        <w:pStyle w:val="ListParagraph"/>
        <w:numPr>
          <w:ilvl w:val="0"/>
          <w:numId w:val="2"/>
        </w:numPr>
        <w:spacing w:after="120"/>
        <w:ind w:left="426" w:hanging="426"/>
        <w:contextualSpacing w:val="0"/>
      </w:pPr>
      <w:r>
        <w:t xml:space="preserve">Members are asked to note that other work is underway around supporting councillors with disabilities, including the commissioning of an accessibility audit of the Town Hall and St. Aldate’s Chambers, and a separate audit of the audio visual facilities in the </w:t>
      </w:r>
      <w:r w:rsidR="001D34C5">
        <w:t>Town Hall</w:t>
      </w:r>
      <w:r w:rsidR="005C5EA0">
        <w:t xml:space="preserve"> meeting rooms</w:t>
      </w:r>
      <w:r w:rsidR="001D34C5">
        <w:t xml:space="preserve">. The Chief Executive is </w:t>
      </w:r>
      <w:r>
        <w:t>also conven</w:t>
      </w:r>
      <w:r w:rsidR="001D34C5">
        <w:t>ing</w:t>
      </w:r>
      <w:r>
        <w:t xml:space="preserve"> an internal dis</w:t>
      </w:r>
      <w:r w:rsidR="008D33CF">
        <w:t>ability support working group.</w:t>
      </w:r>
    </w:p>
    <w:p w:rsidR="00F62206" w:rsidRPr="00AE3026" w:rsidRDefault="00F62206" w:rsidP="00AE3026">
      <w:pPr>
        <w:pStyle w:val="ListParagraph"/>
        <w:spacing w:before="240" w:after="120"/>
        <w:ind w:left="0"/>
        <w:contextualSpacing w:val="0"/>
        <w:rPr>
          <w:b/>
        </w:rPr>
      </w:pPr>
      <w:r w:rsidRPr="00F62206">
        <w:rPr>
          <w:b/>
        </w:rPr>
        <w:t>Legal issues</w:t>
      </w:r>
    </w:p>
    <w:p w:rsidR="007E0A1E" w:rsidRDefault="00204C76" w:rsidP="008D33CF">
      <w:pPr>
        <w:pStyle w:val="ListParagraph"/>
        <w:numPr>
          <w:ilvl w:val="0"/>
          <w:numId w:val="2"/>
        </w:numPr>
        <w:spacing w:after="120"/>
        <w:ind w:left="426" w:hanging="426"/>
        <w:contextualSpacing w:val="0"/>
      </w:pPr>
      <w:r>
        <w:t>The Council must consider the recommendations of an Independent Remuneration Panel before adopting</w:t>
      </w:r>
      <w:r w:rsidR="00CD1AC6">
        <w:t xml:space="preserve"> or amending</w:t>
      </w:r>
      <w:r>
        <w:t xml:space="preserve"> a Members’ Allowances Scheme</w:t>
      </w:r>
      <w:r w:rsidR="00587CC8">
        <w:t>.</w:t>
      </w:r>
    </w:p>
    <w:p w:rsidR="00BD0A26" w:rsidRPr="00AE3026" w:rsidRDefault="00F62206" w:rsidP="00AE3026">
      <w:pPr>
        <w:pStyle w:val="ListParagraph"/>
        <w:spacing w:before="240" w:after="120"/>
        <w:ind w:left="0"/>
        <w:contextualSpacing w:val="0"/>
        <w:rPr>
          <w:b/>
        </w:rPr>
      </w:pPr>
      <w:r w:rsidRPr="00F62206">
        <w:rPr>
          <w:b/>
        </w:rPr>
        <w:t>Financial Issues</w:t>
      </w:r>
    </w:p>
    <w:p w:rsidR="006E43A4" w:rsidRPr="001309D6" w:rsidRDefault="00DB282A" w:rsidP="00AE3026">
      <w:pPr>
        <w:pStyle w:val="ListParagraph"/>
        <w:numPr>
          <w:ilvl w:val="0"/>
          <w:numId w:val="2"/>
        </w:numPr>
        <w:spacing w:after="120"/>
        <w:ind w:left="426" w:hanging="426"/>
        <w:contextualSpacing w:val="0"/>
      </w:pPr>
      <w:r w:rsidRPr="008D33CF">
        <w:t>Provision will be made within the Councils Medium Term F</w:t>
      </w:r>
      <w:r w:rsidR="001D34C5" w:rsidRPr="008D33CF">
        <w:t>inancial Plan for an additional £10,017 per annum (</w:t>
      </w:r>
      <w:r w:rsidRPr="008D33CF">
        <w:t>£</w:t>
      </w:r>
      <w:r w:rsidR="00625C2B" w:rsidRPr="008D33CF">
        <w:t>5,017</w:t>
      </w:r>
      <w:r w:rsidRPr="008D33CF">
        <w:t xml:space="preserve"> </w:t>
      </w:r>
      <w:r w:rsidR="00D1439C" w:rsidRPr="008D33CF">
        <w:t xml:space="preserve">for the additional SRA allowance </w:t>
      </w:r>
      <w:r w:rsidR="001D34C5" w:rsidRPr="008D33CF">
        <w:t xml:space="preserve">and £5,000 to </w:t>
      </w:r>
      <w:r w:rsidRPr="008D33CF">
        <w:t>cover reasonable adjustments for councillors with disab</w:t>
      </w:r>
      <w:r w:rsidR="00625C2B" w:rsidRPr="008D33CF">
        <w:t>ilities</w:t>
      </w:r>
      <w:r w:rsidR="001D34C5" w:rsidRPr="008D33CF">
        <w:t>)</w:t>
      </w:r>
      <w:r w:rsidR="00625C2B" w:rsidRPr="008D33CF">
        <w:t>.</w:t>
      </w:r>
      <w:r w:rsidR="001D34C5" w:rsidRPr="008D33CF">
        <w:t xml:space="preserve"> </w:t>
      </w:r>
      <w:r w:rsidR="00625C2B" w:rsidRPr="008D33CF">
        <w:t xml:space="preserve"> </w:t>
      </w:r>
      <w:r w:rsidR="00F80CAD" w:rsidRPr="008D33CF">
        <w:t>Paid maternity and adoption leave is allowed for within general contingencies to be used if and when the need arises</w:t>
      </w:r>
      <w:r w:rsidR="008D33CF">
        <w:t>.</w:t>
      </w:r>
    </w:p>
    <w:p w:rsidR="00BD0A26" w:rsidRDefault="00BD0A26" w:rsidP="00AE3026">
      <w:pPr>
        <w:spacing w:after="120"/>
        <w:rPr>
          <w:b/>
          <w:bCs/>
          <w:sz w:val="20"/>
        </w:rPr>
      </w:pPr>
    </w:p>
    <w:p w:rsidR="008D33CF" w:rsidRDefault="008D33CF" w:rsidP="00AE3026">
      <w:pPr>
        <w:spacing w:after="120"/>
        <w:rPr>
          <w:b/>
          <w:bCs/>
          <w:sz w:val="20"/>
        </w:rPr>
      </w:pPr>
    </w:p>
    <w:p w:rsidR="008D33CF" w:rsidRDefault="008D33CF" w:rsidP="00AE3026">
      <w:pPr>
        <w:spacing w:after="120"/>
        <w:rPr>
          <w:b/>
          <w:bCs/>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587CC8" w:rsidTr="00AE3026">
        <w:tc>
          <w:tcPr>
            <w:tcW w:w="8522" w:type="dxa"/>
            <w:vAlign w:val="center"/>
          </w:tcPr>
          <w:p w:rsidR="00587CC8" w:rsidRDefault="00587CC8" w:rsidP="00AE3026">
            <w:pPr>
              <w:tabs>
                <w:tab w:val="left" w:pos="720"/>
                <w:tab w:val="left" w:pos="1440"/>
                <w:tab w:val="left" w:pos="2160"/>
                <w:tab w:val="left" w:pos="2880"/>
              </w:tabs>
              <w:spacing w:after="120"/>
            </w:pPr>
            <w:r>
              <w:rPr>
                <w:b/>
                <w:bCs/>
              </w:rPr>
              <w:t>Name and contact details of author:-</w:t>
            </w:r>
          </w:p>
        </w:tc>
      </w:tr>
      <w:tr w:rsidR="00587CC8" w:rsidTr="00AE3026">
        <w:trPr>
          <w:trHeight w:val="465"/>
        </w:trPr>
        <w:tc>
          <w:tcPr>
            <w:tcW w:w="8522" w:type="dxa"/>
            <w:vAlign w:val="center"/>
          </w:tcPr>
          <w:p w:rsidR="00587CC8" w:rsidRDefault="00E511F5" w:rsidP="00AE3026">
            <w:pPr>
              <w:tabs>
                <w:tab w:val="left" w:pos="720"/>
                <w:tab w:val="left" w:pos="1440"/>
                <w:tab w:val="left" w:pos="2160"/>
                <w:tab w:val="left" w:pos="2880"/>
              </w:tabs>
              <w:spacing w:after="120"/>
            </w:pPr>
            <w:r>
              <w:t>Emma Griffiths</w:t>
            </w:r>
          </w:p>
        </w:tc>
      </w:tr>
      <w:tr w:rsidR="00587CC8" w:rsidTr="00AE3026">
        <w:trPr>
          <w:trHeight w:val="557"/>
        </w:trPr>
        <w:tc>
          <w:tcPr>
            <w:tcW w:w="8522" w:type="dxa"/>
            <w:vAlign w:val="center"/>
          </w:tcPr>
          <w:p w:rsidR="00587CC8" w:rsidRDefault="00E511F5" w:rsidP="00AE3026">
            <w:pPr>
              <w:tabs>
                <w:tab w:val="left" w:pos="720"/>
                <w:tab w:val="left" w:pos="1440"/>
                <w:tab w:val="left" w:pos="2160"/>
                <w:tab w:val="left" w:pos="2880"/>
              </w:tabs>
              <w:spacing w:after="120"/>
            </w:pPr>
            <w:r>
              <w:t>Supervising Lawyer</w:t>
            </w:r>
          </w:p>
        </w:tc>
      </w:tr>
      <w:tr w:rsidR="00587CC8" w:rsidTr="00AE3026">
        <w:trPr>
          <w:trHeight w:val="437"/>
        </w:trPr>
        <w:tc>
          <w:tcPr>
            <w:tcW w:w="8522" w:type="dxa"/>
            <w:vAlign w:val="center"/>
          </w:tcPr>
          <w:p w:rsidR="00587CC8" w:rsidRDefault="00E511F5" w:rsidP="00AE3026">
            <w:pPr>
              <w:tabs>
                <w:tab w:val="left" w:pos="720"/>
                <w:tab w:val="left" w:pos="1440"/>
                <w:tab w:val="left" w:pos="2160"/>
                <w:tab w:val="left" w:pos="2880"/>
              </w:tabs>
              <w:spacing w:after="120"/>
            </w:pPr>
            <w:r>
              <w:t>St Aldates Chambers, St Aldates,</w:t>
            </w:r>
            <w:r w:rsidR="00587CC8">
              <w:t xml:space="preserve">  Oxford  OX1 1DS</w:t>
            </w:r>
          </w:p>
        </w:tc>
      </w:tr>
      <w:tr w:rsidR="00587CC8" w:rsidTr="00AE3026">
        <w:trPr>
          <w:trHeight w:val="557"/>
        </w:trPr>
        <w:tc>
          <w:tcPr>
            <w:tcW w:w="8522" w:type="dxa"/>
            <w:vAlign w:val="center"/>
          </w:tcPr>
          <w:p w:rsidR="00587CC8" w:rsidRPr="00AE3026" w:rsidRDefault="00587CC8" w:rsidP="00AE3026">
            <w:pPr>
              <w:tabs>
                <w:tab w:val="left" w:pos="720"/>
                <w:tab w:val="left" w:pos="1440"/>
                <w:tab w:val="left" w:pos="2160"/>
                <w:tab w:val="left" w:pos="2880"/>
              </w:tabs>
              <w:spacing w:after="120"/>
            </w:pPr>
            <w:r>
              <w:t>Tel:  01865 252</w:t>
            </w:r>
            <w:r w:rsidR="00E511F5">
              <w:t>2208</w:t>
            </w:r>
            <w:r w:rsidR="00AE3026">
              <w:t xml:space="preserve">        </w:t>
            </w:r>
            <w:r>
              <w:t xml:space="preserve">e-mail: </w:t>
            </w:r>
            <w:r w:rsidR="00E511F5">
              <w:t>egriffiths</w:t>
            </w:r>
            <w:r w:rsidR="00E6151D">
              <w:t>@oxford.gov.uk</w:t>
            </w:r>
            <w:r>
              <w:t xml:space="preserve"> </w:t>
            </w:r>
          </w:p>
        </w:tc>
      </w:tr>
    </w:tbl>
    <w:p w:rsidR="000E3607" w:rsidRDefault="000E3607" w:rsidP="00AE3026">
      <w:pPr>
        <w:spacing w:after="120"/>
        <w:rPr>
          <w:b/>
          <w:bCs/>
        </w:rPr>
      </w:pPr>
    </w:p>
    <w:p w:rsidR="00BD0A26" w:rsidRDefault="00890110" w:rsidP="00AE3026">
      <w:pPr>
        <w:spacing w:after="120"/>
        <w:rPr>
          <w:b/>
          <w:bCs/>
        </w:rPr>
      </w:pPr>
      <w:r>
        <w:rPr>
          <w:b/>
          <w:bCs/>
        </w:rPr>
        <w:t xml:space="preserve">Background papers: </w:t>
      </w:r>
      <w:r w:rsidR="001B0966">
        <w:rPr>
          <w:b/>
          <w:bCs/>
        </w:rPr>
        <w:t>None</w:t>
      </w:r>
    </w:p>
    <w:sectPr w:rsidR="00BD0A26" w:rsidSect="00AE3026">
      <w:footerReference w:type="default" r:id="rId11"/>
      <w:pgSz w:w="11906" w:h="16838"/>
      <w:pgMar w:top="1134" w:right="1304" w:bottom="1134" w:left="1304"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71D" w:rsidRDefault="004C471D">
      <w:r>
        <w:separator/>
      </w:r>
    </w:p>
  </w:endnote>
  <w:endnote w:type="continuationSeparator" w:id="0">
    <w:p w:rsidR="004C471D" w:rsidRDefault="004C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A26" w:rsidRDefault="00BD0A26">
    <w:pPr>
      <w:rPr>
        <w:sz w:val="20"/>
      </w:rPr>
    </w:pPr>
  </w:p>
  <w:p w:rsidR="00BD0A26" w:rsidRDefault="00BD0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71D" w:rsidRDefault="004C471D">
      <w:r>
        <w:separator/>
      </w:r>
    </w:p>
  </w:footnote>
  <w:footnote w:type="continuationSeparator" w:id="0">
    <w:p w:rsidR="004C471D" w:rsidRDefault="004C47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14AF2"/>
    <w:multiLevelType w:val="hybridMultilevel"/>
    <w:tmpl w:val="D72E9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3913BE"/>
    <w:multiLevelType w:val="hybridMultilevel"/>
    <w:tmpl w:val="A7AC11E8"/>
    <w:lvl w:ilvl="0" w:tplc="189EBE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E41489"/>
    <w:multiLevelType w:val="hybridMultilevel"/>
    <w:tmpl w:val="0F26A6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0D688F"/>
    <w:multiLevelType w:val="hybridMultilevel"/>
    <w:tmpl w:val="EC982A6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4">
    <w:nsid w:val="2460319F"/>
    <w:multiLevelType w:val="hybridMultilevel"/>
    <w:tmpl w:val="E00605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E093984"/>
    <w:multiLevelType w:val="hybridMultilevel"/>
    <w:tmpl w:val="8DEAAB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5B51ACC"/>
    <w:multiLevelType w:val="hybridMultilevel"/>
    <w:tmpl w:val="5D7A6DE0"/>
    <w:lvl w:ilvl="0" w:tplc="A146818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AE834A1"/>
    <w:multiLevelType w:val="hybridMultilevel"/>
    <w:tmpl w:val="67B28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D9C2C18"/>
    <w:multiLevelType w:val="hybridMultilevel"/>
    <w:tmpl w:val="A8728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6"/>
  </w:num>
  <w:num w:numId="5">
    <w:abstractNumId w:val="2"/>
  </w:num>
  <w:num w:numId="6">
    <w:abstractNumId w:val="3"/>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06"/>
    <w:rsid w:val="00032D94"/>
    <w:rsid w:val="00044056"/>
    <w:rsid w:val="000573F1"/>
    <w:rsid w:val="000E2AB4"/>
    <w:rsid w:val="000E3607"/>
    <w:rsid w:val="001309D6"/>
    <w:rsid w:val="00147701"/>
    <w:rsid w:val="001633DF"/>
    <w:rsid w:val="001A7788"/>
    <w:rsid w:val="001A7CEB"/>
    <w:rsid w:val="001B0966"/>
    <w:rsid w:val="001D34C5"/>
    <w:rsid w:val="00204C76"/>
    <w:rsid w:val="002C2BBE"/>
    <w:rsid w:val="003367D0"/>
    <w:rsid w:val="00360BC1"/>
    <w:rsid w:val="00386EDF"/>
    <w:rsid w:val="00393A35"/>
    <w:rsid w:val="003A520A"/>
    <w:rsid w:val="003B1E47"/>
    <w:rsid w:val="003D22C3"/>
    <w:rsid w:val="003D4018"/>
    <w:rsid w:val="003E41A0"/>
    <w:rsid w:val="003E61F7"/>
    <w:rsid w:val="003F4B58"/>
    <w:rsid w:val="00415B8F"/>
    <w:rsid w:val="00422A0E"/>
    <w:rsid w:val="0044100E"/>
    <w:rsid w:val="00491DA1"/>
    <w:rsid w:val="004958EA"/>
    <w:rsid w:val="004B772B"/>
    <w:rsid w:val="004C471D"/>
    <w:rsid w:val="004D314B"/>
    <w:rsid w:val="00537AB6"/>
    <w:rsid w:val="005542DD"/>
    <w:rsid w:val="005724B7"/>
    <w:rsid w:val="00587CC8"/>
    <w:rsid w:val="005C5EA0"/>
    <w:rsid w:val="005D5DED"/>
    <w:rsid w:val="00625C2B"/>
    <w:rsid w:val="00661374"/>
    <w:rsid w:val="00684101"/>
    <w:rsid w:val="006A5500"/>
    <w:rsid w:val="006B3088"/>
    <w:rsid w:val="006D4421"/>
    <w:rsid w:val="006E43A4"/>
    <w:rsid w:val="0070076A"/>
    <w:rsid w:val="0073476F"/>
    <w:rsid w:val="007431AD"/>
    <w:rsid w:val="00770171"/>
    <w:rsid w:val="0079783C"/>
    <w:rsid w:val="007C0442"/>
    <w:rsid w:val="007E0A1E"/>
    <w:rsid w:val="007E3D39"/>
    <w:rsid w:val="007E7D37"/>
    <w:rsid w:val="008025E9"/>
    <w:rsid w:val="00815D95"/>
    <w:rsid w:val="008704BC"/>
    <w:rsid w:val="00890110"/>
    <w:rsid w:val="008B7B45"/>
    <w:rsid w:val="008D33CF"/>
    <w:rsid w:val="008F22A3"/>
    <w:rsid w:val="009109D8"/>
    <w:rsid w:val="00960643"/>
    <w:rsid w:val="00975BF3"/>
    <w:rsid w:val="00987AC9"/>
    <w:rsid w:val="00991E8B"/>
    <w:rsid w:val="00992F8B"/>
    <w:rsid w:val="00994613"/>
    <w:rsid w:val="009D49B9"/>
    <w:rsid w:val="009E1294"/>
    <w:rsid w:val="00A0767E"/>
    <w:rsid w:val="00A170FC"/>
    <w:rsid w:val="00A34BAA"/>
    <w:rsid w:val="00A70628"/>
    <w:rsid w:val="00A7585C"/>
    <w:rsid w:val="00AE3026"/>
    <w:rsid w:val="00AF7E0D"/>
    <w:rsid w:val="00B00EF4"/>
    <w:rsid w:val="00BD0A26"/>
    <w:rsid w:val="00BE1BC3"/>
    <w:rsid w:val="00BE6EAC"/>
    <w:rsid w:val="00BF5B4B"/>
    <w:rsid w:val="00C163A6"/>
    <w:rsid w:val="00C205E8"/>
    <w:rsid w:val="00C33D2B"/>
    <w:rsid w:val="00C84266"/>
    <w:rsid w:val="00C87ECE"/>
    <w:rsid w:val="00CB79B3"/>
    <w:rsid w:val="00CD1AC6"/>
    <w:rsid w:val="00CD2612"/>
    <w:rsid w:val="00CD6EF5"/>
    <w:rsid w:val="00CF74E0"/>
    <w:rsid w:val="00D13D54"/>
    <w:rsid w:val="00D1439C"/>
    <w:rsid w:val="00D259B3"/>
    <w:rsid w:val="00D40316"/>
    <w:rsid w:val="00D41072"/>
    <w:rsid w:val="00D5038C"/>
    <w:rsid w:val="00DB282A"/>
    <w:rsid w:val="00DC7662"/>
    <w:rsid w:val="00DE336C"/>
    <w:rsid w:val="00E06D62"/>
    <w:rsid w:val="00E30846"/>
    <w:rsid w:val="00E30FD0"/>
    <w:rsid w:val="00E511F5"/>
    <w:rsid w:val="00E6151D"/>
    <w:rsid w:val="00E77C6F"/>
    <w:rsid w:val="00EE040F"/>
    <w:rsid w:val="00EE15D2"/>
    <w:rsid w:val="00EE64F8"/>
    <w:rsid w:val="00EF0E9C"/>
    <w:rsid w:val="00F44231"/>
    <w:rsid w:val="00F46648"/>
    <w:rsid w:val="00F62206"/>
    <w:rsid w:val="00F80CAD"/>
    <w:rsid w:val="00FB6C6E"/>
    <w:rsid w:val="00FC14B3"/>
    <w:rsid w:val="00FD7FEE"/>
    <w:rsid w:val="00FF0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uiPriority w:val="34"/>
    <w:qFormat/>
    <w:rsid w:val="00DC7662"/>
    <w:pPr>
      <w:ind w:left="720"/>
      <w:contextualSpacing/>
    </w:pPr>
  </w:style>
  <w:style w:type="paragraph" w:styleId="Revision">
    <w:name w:val="Revision"/>
    <w:hidden/>
    <w:uiPriority w:val="99"/>
    <w:semiHidden/>
    <w:rsid w:val="00625C2B"/>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uiPriority w:val="34"/>
    <w:qFormat/>
    <w:rsid w:val="00DC7662"/>
    <w:pPr>
      <w:ind w:left="720"/>
      <w:contextualSpacing/>
    </w:pPr>
  </w:style>
  <w:style w:type="paragraph" w:styleId="Revision">
    <w:name w:val="Revision"/>
    <w:hidden/>
    <w:uiPriority w:val="99"/>
    <w:semiHidden/>
    <w:rsid w:val="00625C2B"/>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75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D2506-64FA-48E4-B8AC-260A3FC48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B22D9358</Template>
  <TotalTime>12</TotalTime>
  <Pages>3</Pages>
  <Words>934</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5823</CharactersWithSpaces>
  <SharedDoc>false</SharedDoc>
  <HLinks>
    <vt:vector size="6" baseType="variant">
      <vt:variant>
        <vt:i4>2687043</vt:i4>
      </vt:variant>
      <vt:variant>
        <vt:i4>1511</vt:i4>
      </vt:variant>
      <vt:variant>
        <vt:i4>1025</vt:i4>
      </vt:variant>
      <vt:variant>
        <vt:i4>1</vt:i4>
      </vt:variant>
      <vt:variant>
        <vt:lpwstr>http://insideocc/styleguide/logos/occ_blk.jpg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8</cp:revision>
  <cp:lastPrinted>2014-11-19T11:13:00Z</cp:lastPrinted>
  <dcterms:created xsi:type="dcterms:W3CDTF">2018-01-19T11:02:00Z</dcterms:created>
  <dcterms:modified xsi:type="dcterms:W3CDTF">2018-02-08T13:01:00Z</dcterms:modified>
</cp:coreProperties>
</file>